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End w:id="0"/>
      <w:r w:rsidRPr="009773E3">
        <w:t xml:space="preserve">UCHWAŁA NR </w:t>
      </w:r>
      <w:r w:rsidR="00621925">
        <w:fldChar w:fldCharType="begin"/>
      </w:r>
      <w:r w:rsidR="00621925">
        <w:instrText xml:space="preserve"> DOCVARIABLE  AktNr  \* MERGEFORMAT </w:instrText>
      </w:r>
      <w:r w:rsidR="00621925">
        <w:fldChar w:fldCharType="separate"/>
      </w:r>
      <w:r w:rsidR="00551F7C">
        <w:t>LXIV/1180/VIII/2022</w:t>
      </w:r>
      <w:r w:rsidR="00621925">
        <w:fldChar w:fldCharType="end"/>
      </w:r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551F7C">
        <w:rPr>
          <w:b/>
          <w:sz w:val="28"/>
        </w:rPr>
        <w:t>17 maja 2022</w:t>
      </w:r>
      <w:r w:rsidR="00301A09">
        <w:rPr>
          <w:b/>
          <w:sz w:val="28"/>
        </w:rPr>
        <w:t xml:space="preserve"> </w:t>
      </w:r>
      <w:bookmarkStart w:id="1" w:name="_GoBack"/>
      <w:bookmarkEnd w:id="1"/>
      <w:r w:rsidR="00551F7C">
        <w:rPr>
          <w:b/>
          <w:sz w:val="28"/>
        </w:rPr>
        <w:t>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21925">
        <w:tc>
          <w:tcPr>
            <w:tcW w:w="1368" w:type="dxa"/>
            <w:shd w:val="clear" w:color="auto" w:fill="auto"/>
          </w:tcPr>
          <w:p w:rsidR="00565809" w:rsidRPr="00621925" w:rsidRDefault="0039598D" w:rsidP="00621925">
            <w:pPr>
              <w:spacing w:line="360" w:lineRule="auto"/>
              <w:rPr>
                <w:sz w:val="24"/>
                <w:szCs w:val="24"/>
              </w:rPr>
            </w:pPr>
            <w:r w:rsidRPr="00621925">
              <w:rPr>
                <w:sz w:val="24"/>
                <w:szCs w:val="24"/>
              </w:rPr>
              <w:t>w</w:t>
            </w:r>
            <w:r w:rsidR="00565809" w:rsidRPr="00621925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  <w:shd w:val="clear" w:color="auto" w:fill="auto"/>
          </w:tcPr>
          <w:p w:rsidR="00565809" w:rsidRPr="00621925" w:rsidRDefault="00565809" w:rsidP="006219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1925">
              <w:rPr>
                <w:b/>
                <w:sz w:val="24"/>
                <w:szCs w:val="24"/>
              </w:rPr>
              <w:fldChar w:fldCharType="begin"/>
            </w:r>
            <w:r w:rsidRPr="0062192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21925">
              <w:rPr>
                <w:b/>
                <w:sz w:val="24"/>
                <w:szCs w:val="24"/>
              </w:rPr>
              <w:fldChar w:fldCharType="separate"/>
            </w:r>
            <w:r w:rsidR="00551F7C" w:rsidRPr="00621925">
              <w:rPr>
                <w:b/>
                <w:sz w:val="24"/>
                <w:szCs w:val="24"/>
              </w:rPr>
              <w:t>miejscowego planu zagospodarowania przestrzennego terenów przyautostradowych w rejonie Fabianowa i Kotowa w Poznaniu – część C.</w:t>
            </w:r>
            <w:r w:rsidRPr="0062192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1F7C">
        <w:rPr>
          <w:color w:val="000000"/>
          <w:sz w:val="24"/>
          <w:szCs w:val="24"/>
        </w:rPr>
        <w:t>Na podstawie art. 18 ust. 2 pkt 5 ustawy z dnia 8 marca 1990 r. o samorządzie gminnym (Dz. U. z 2022 r. poz. 559 i 583) oraz art. 20 ust. 1 ustawy z dnia 27 marca 2003 r. o planowaniu i</w:t>
      </w:r>
      <w:r w:rsidR="00981586">
        <w:rPr>
          <w:color w:val="000000"/>
          <w:sz w:val="24"/>
          <w:szCs w:val="24"/>
        </w:rPr>
        <w:t> </w:t>
      </w:r>
      <w:r w:rsidRPr="00551F7C">
        <w:rPr>
          <w:color w:val="000000"/>
          <w:sz w:val="24"/>
          <w:szCs w:val="24"/>
        </w:rPr>
        <w:t>zagospodarowaniu przestrzennym (Dz. U. z 2022 r. poz. 503) uchwala się, co następuje:</w:t>
      </w:r>
    </w:p>
    <w:p w:rsidR="00551F7C" w:rsidRDefault="00551F7C" w:rsidP="00551F7C">
      <w:pPr>
        <w:spacing w:line="360" w:lineRule="auto"/>
        <w:jc w:val="both"/>
        <w:rPr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1F7C">
        <w:rPr>
          <w:color w:val="000000"/>
          <w:sz w:val="24"/>
          <w:szCs w:val="24"/>
        </w:rPr>
        <w:t xml:space="preserve">1. Uchwala się miejscowy plan zagospodarowania przestrzennego terenów przyautostradowych w rejonie Fabianowa i Kotowa w Poznaniu </w:t>
      </w:r>
      <w:r w:rsidRPr="00551F7C">
        <w:rPr>
          <w:b/>
          <w:bCs/>
          <w:color w:val="000000"/>
          <w:sz w:val="24"/>
          <w:szCs w:val="24"/>
        </w:rPr>
        <w:t>–</w:t>
      </w:r>
      <w:r w:rsidRPr="00551F7C">
        <w:rPr>
          <w:color w:val="000000"/>
          <w:sz w:val="24"/>
          <w:szCs w:val="24"/>
        </w:rPr>
        <w:t xml:space="preserve"> część C, zwany dalej „planem”, po stwierdzeniu jego zgodności ze „Studium uwarunkowań i kierunków zagospodarowania przestrzennego miasta Poznania” (zatwierdzonym uchwałą Nr LXXII/1137/VI/2014 Rady Miasta Poznania z dnia 23 września 2014 r.).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2. Granice obszaru objętego planem określa rysunek planu.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3. Integralnymi częściami uchwały są: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 xml:space="preserve">1) załącznik nr 1 </w:t>
      </w:r>
      <w:r w:rsidRPr="00551F7C">
        <w:rPr>
          <w:b/>
          <w:bCs/>
          <w:color w:val="000000"/>
          <w:sz w:val="24"/>
          <w:szCs w:val="24"/>
        </w:rPr>
        <w:t>–</w:t>
      </w:r>
      <w:r w:rsidRPr="00551F7C">
        <w:rPr>
          <w:color w:val="000000"/>
          <w:sz w:val="24"/>
          <w:szCs w:val="24"/>
        </w:rPr>
        <w:t xml:space="preserve"> stanowiący część graficzną, zwany „rysunkiem planu”, opracowany w</w:t>
      </w:r>
      <w:r w:rsidR="00981586">
        <w:rPr>
          <w:color w:val="000000"/>
          <w:sz w:val="24"/>
          <w:szCs w:val="24"/>
        </w:rPr>
        <w:t> </w:t>
      </w:r>
      <w:r w:rsidRPr="00551F7C">
        <w:rPr>
          <w:color w:val="000000"/>
          <w:sz w:val="24"/>
          <w:szCs w:val="24"/>
        </w:rPr>
        <w:t>skali 1:1000 i zatytułowany: Miejscowy plan zagospodarowania przestrzennego terenów przyautostradowych w rejonie Fabianowa i Kotowa w Poznaniu – część C;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 xml:space="preserve">2) załącznik nr 2 </w:t>
      </w:r>
      <w:r w:rsidRPr="00551F7C">
        <w:rPr>
          <w:b/>
          <w:bCs/>
          <w:color w:val="000000"/>
          <w:sz w:val="24"/>
          <w:szCs w:val="24"/>
        </w:rPr>
        <w:t>–</w:t>
      </w:r>
      <w:r w:rsidRPr="00551F7C">
        <w:rPr>
          <w:color w:val="000000"/>
          <w:sz w:val="24"/>
          <w:szCs w:val="24"/>
        </w:rPr>
        <w:t xml:space="preserve"> stanowiący rozstrzygnięcie Rady Miasta Poznania o sposobie rozpatrzenia uwag wniesionych do projektu planu;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 xml:space="preserve">3) załącznik nr 3 </w:t>
      </w:r>
      <w:r w:rsidRPr="00551F7C">
        <w:rPr>
          <w:b/>
          <w:bCs/>
          <w:color w:val="000000"/>
          <w:sz w:val="24"/>
          <w:szCs w:val="24"/>
        </w:rPr>
        <w:t>–</w:t>
      </w:r>
      <w:r w:rsidRPr="00551F7C">
        <w:rPr>
          <w:color w:val="000000"/>
          <w:sz w:val="24"/>
          <w:szCs w:val="24"/>
        </w:rPr>
        <w:t xml:space="preserve"> stanowiący rozstrzygnięcie Rady Miasta Poznania o sposobie realizacji zapisanych w planie inwestycji z zakresu infrastruktury technicznej, które należą do zadań własnych gminy, oraz zasadach ich finansowania, zgodnie z przepisami o</w:t>
      </w:r>
      <w:r w:rsidR="00981586">
        <w:rPr>
          <w:color w:val="000000"/>
          <w:sz w:val="24"/>
          <w:szCs w:val="24"/>
        </w:rPr>
        <w:t> </w:t>
      </w:r>
      <w:r w:rsidRPr="00551F7C">
        <w:rPr>
          <w:color w:val="000000"/>
          <w:sz w:val="24"/>
          <w:szCs w:val="24"/>
        </w:rPr>
        <w:t>finansach publicznych;</w:t>
      </w:r>
    </w:p>
    <w:p w:rsidR="00551F7C" w:rsidRDefault="00551F7C" w:rsidP="00551F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 xml:space="preserve">4) załącznik nr 4 </w:t>
      </w:r>
      <w:r w:rsidRPr="00551F7C">
        <w:rPr>
          <w:b/>
          <w:bCs/>
          <w:color w:val="000000"/>
          <w:sz w:val="24"/>
          <w:szCs w:val="24"/>
        </w:rPr>
        <w:t>–</w:t>
      </w:r>
      <w:r w:rsidRPr="00551F7C">
        <w:rPr>
          <w:color w:val="000000"/>
          <w:sz w:val="24"/>
          <w:szCs w:val="24"/>
        </w:rPr>
        <w:t xml:space="preserve"> stanowiący dane przestrzenne utworzone dla planu.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1F7C">
        <w:rPr>
          <w:color w:val="000000"/>
          <w:sz w:val="24"/>
          <w:szCs w:val="24"/>
        </w:rPr>
        <w:t>Ilekroć w dalszych przepisach uchwały mowa jest o: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1) ogrodzeniu pełnym – należy przez to rozumieć ogrodzenie, w którym część ażurowa stanowi mniej niż 60% powierzchni całkowitej ogrodzenia;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2) powierzchni zabudowy – należy przez to rozumieć sumę powierzchni wszystkich budynków zlokalizowanych na działce budowlanej, wyznaczonych przez rzut pionowy zewnętrznych krawędzi ścian budynku na powierzchnię terenu;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3) szyldzie – należy przez to rozumieć oznaczenie jednostki organizacyjnej lub przedsiębiorcy, ich siedziby lub miejsca wykonywania działalności;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4) tablicy informacyjnej – należy przez to rozumieć element informacji turystycznej, przyrodniczej lub porządkowej;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5) urządzeniu reklamowym – należy przez to rozumieć nośnik informacji w jakiejkolwiek materialnej formie wraz z elementami konstrukcyjnymi i zamocowaniami, niebędący szyldem lub tablicą informacyjną;</w:t>
      </w:r>
    </w:p>
    <w:p w:rsidR="00551F7C" w:rsidRDefault="00551F7C" w:rsidP="00551F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6) zieleni wysokiej – należy przez to rozumieć drzewa i krzewy o wysokości powyżej 2 m.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1F7C">
        <w:rPr>
          <w:color w:val="000000"/>
          <w:sz w:val="24"/>
          <w:szCs w:val="24"/>
        </w:rPr>
        <w:t>W zakresie przeznaczenia terenów ustala się: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1) teren rozmieszczenia obiektów handlowych o powierzchni sprzedaży powyżej 2000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lub zabudowy usługowej, lub obiektów produkcyjnych, składów i magazynów, oznaczony na rysunku planu symbolem UC/U/P;</w:t>
      </w:r>
    </w:p>
    <w:p w:rsidR="00551F7C" w:rsidRDefault="00551F7C" w:rsidP="00551F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2) tereny dróg publicznych oznaczone na rysunku planu symbolami: 1KD-Z, 2KD-Z, 1KD-D, 2KD-D.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1F7C">
        <w:rPr>
          <w:color w:val="000000"/>
          <w:sz w:val="24"/>
          <w:szCs w:val="24"/>
        </w:rPr>
        <w:t>W zakresie zasad ochrony i kształtowania ładu przestrzennego ustala się: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1) w przypadku lokalizacji obiektów handlowych o powierzchni sprzedaży powyżej 2000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wykształcenie w ciągu komunikacyjnym, łączącym miejsca postojowe z wejściem głównym, przestrzeni: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a) dla ruchu pieszych,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lastRenderedPageBreak/>
        <w:t>b) z obiektami małej architektury,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c) z zielenią wysoką;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2) zakaz lokalizacji: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a) ogrodzeń pełnych oraz z betonowych elementów prefabrykowanych od strony dróg publicznych i przestrzeni, o których mowa w pkt 1,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b) wejść i dojazdów do pomieszczeń technicznych i gospodarczych lub wielostanowiskowych miejsc przeładunku i postoju dla obsługi obiektów, od strony przestrzeni, o których mowa w pkt 1,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c) urządzeń reklamowych, z wyjątkiem umieszczanych na elewacjach budynków, o</w:t>
      </w:r>
      <w:r w:rsidR="00981586">
        <w:rPr>
          <w:color w:val="000000"/>
          <w:sz w:val="24"/>
          <w:szCs w:val="24"/>
        </w:rPr>
        <w:t> </w:t>
      </w:r>
      <w:r w:rsidRPr="00551F7C">
        <w:rPr>
          <w:color w:val="000000"/>
          <w:sz w:val="24"/>
          <w:szCs w:val="24"/>
        </w:rPr>
        <w:t>łącznej powierzchni urządzeń nieprzekraczającej 15% powierzchni każdej elewacji,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d) szyldów, tablic i urządzeń reklamowych z wykorzystaniem ekranów plazmowych typu LED lub typu LCD,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e) wolno stojących garaży jednokondygnacyjnych,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f) miejsc postojowych dla samochodów w pasie terenu pomiędzy linią rozgraniczającą tereny o różnym przeznaczeniu lub różnych zasadach zagospodarowania a linią zabudowy;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3) dopuszczenie lokalizacji: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a) szyldów: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- sytuowanych na budynkach,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- w formie masztów flagowych,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- w formie wolno stojących pylonów o wysokości nie większej niż 15 m,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- w formie wolno stojących pylonów o wysokości nie większej niż 40 m, po jednym na każdej działce budowlanej oraz nie więcej niż trzy na terenie UC/U/P,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b) tablic informacyjnych,</w:t>
      </w:r>
    </w:p>
    <w:p w:rsidR="00551F7C" w:rsidRDefault="00551F7C" w:rsidP="00551F7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c) obiektów małej architektury.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1F7C">
        <w:rPr>
          <w:color w:val="000000"/>
          <w:sz w:val="24"/>
          <w:szCs w:val="24"/>
        </w:rPr>
        <w:t>W zakresie zasad ochrony środowiska, przyrody i krajobrazu kulturowego ustala się: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1) zagospodarowanie zielenią nieutwardzonych fragmentów terenu;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2) dopuszczenie stosowania indywidualnych systemów grzewczych, z wyjątkiem pieców i</w:t>
      </w:r>
      <w:r w:rsidR="00981586">
        <w:rPr>
          <w:color w:val="000000"/>
          <w:sz w:val="24"/>
          <w:szCs w:val="24"/>
        </w:rPr>
        <w:t> </w:t>
      </w:r>
      <w:r w:rsidRPr="00551F7C">
        <w:rPr>
          <w:color w:val="000000"/>
          <w:sz w:val="24"/>
          <w:szCs w:val="24"/>
        </w:rPr>
        <w:t>trzonów kuchennych na paliwo stałe;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lastRenderedPageBreak/>
        <w:t>3) dopuszczenie lokalizacji obiektów i urządzeń służących do retencji lub zagospodarowania wód opadowych i roztopowych;</w:t>
      </w:r>
    </w:p>
    <w:p w:rsidR="00551F7C" w:rsidRDefault="00551F7C" w:rsidP="00551F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4) dla budynków z pomieszczeniami wymagającymi komfortu akustycznego stosowanie rozwiązań wynikających z zasad akustyki budowlanej.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51F7C">
        <w:rPr>
          <w:color w:val="000000"/>
          <w:sz w:val="24"/>
          <w:szCs w:val="24"/>
        </w:rPr>
        <w:t>W zakresie wymagań wynikających z potrzeb kształtowania przestrzeni publicznych w</w:t>
      </w:r>
      <w:r w:rsidR="00981586">
        <w:rPr>
          <w:color w:val="000000"/>
          <w:sz w:val="24"/>
          <w:szCs w:val="24"/>
        </w:rPr>
        <w:t> </w:t>
      </w:r>
      <w:r w:rsidRPr="00551F7C">
        <w:rPr>
          <w:color w:val="000000"/>
          <w:sz w:val="24"/>
          <w:szCs w:val="24"/>
        </w:rPr>
        <w:t>obrębie poszczególnych terenów dróg publicznych ustala się nadanie spójnego charakteru elementom zagospodarowania m.in. obiektom małej architektury, oświetlenia oraz nawierzchniom.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51F7C">
        <w:rPr>
          <w:color w:val="000000"/>
          <w:sz w:val="24"/>
          <w:szCs w:val="24"/>
        </w:rPr>
        <w:t xml:space="preserve">W zakresie parametrów i wskaźników kształtowania zabudowy oraz zagospodarowania terenu oznaczonego na rysunku planu symbolem </w:t>
      </w:r>
      <w:r w:rsidRPr="00551F7C">
        <w:rPr>
          <w:b/>
          <w:bCs/>
          <w:color w:val="000000"/>
          <w:sz w:val="24"/>
          <w:szCs w:val="24"/>
        </w:rPr>
        <w:t>UC/U/P</w:t>
      </w:r>
      <w:r w:rsidRPr="00551F7C">
        <w:rPr>
          <w:color w:val="000000"/>
          <w:sz w:val="24"/>
          <w:szCs w:val="24"/>
        </w:rPr>
        <w:t xml:space="preserve"> ustala się: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1) lokalizację zabudowy zgodnie z liniami zabudowy wyznaczonymi na rysunku planu, z</w:t>
      </w:r>
      <w:r w:rsidR="00981586">
        <w:rPr>
          <w:color w:val="000000"/>
          <w:sz w:val="24"/>
          <w:szCs w:val="24"/>
        </w:rPr>
        <w:t> </w:t>
      </w:r>
      <w:r w:rsidRPr="00551F7C">
        <w:rPr>
          <w:color w:val="000000"/>
          <w:sz w:val="24"/>
          <w:szCs w:val="24"/>
        </w:rPr>
        <w:t>dopuszczeniem: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a) wysunięcia przed linię zabudowy, w granicach terenu, elementów takich jak schody, pochylnie, zlokalizowanych poniżej poziomu parteru budynku,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b) w pasie terenu pomiędzy liniami rozgraniczającymi tereny o różnym przeznaczeniu lub różnych zasadach zagospodarowania a liniami zabudowy lokalizacji stróżówek, portierni oraz wolno stojących stacji transformatorowych, o powierzchni zabudowy nie większej niż 40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>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2) zakaz lokalizacji szkół, domów opieki społecznej i szpitali oraz domów studenckich;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3) w przypadku lokalizacji na działce budowlanej obiektu handlowego jego powierzchnię sprzedaży nie większą niż 20 000 m2;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4) w przypadku sytuowania budynków w odległości mniejszej niż 30 m od linii rozgraniczającej teren UC/U/P z terenami 1KD-Z i 2KD-Z lokalizację przynajmniej 60% długości jednej ze ścian budynku równolegle do linii zabudowy od strony terenów 1KD-Z i 2KD-Z;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5) powierzchnię zabudowy działki budowlanej nie większą niż 70%;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6) udział powierzchni biologicznie czynnej działki budowlanej nie mniejszy niż 20%;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7) lokalizację rzędów drzew w miejscach wskazanych na rysunku planu;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lastRenderedPageBreak/>
        <w:t>8) wysokość zabudowy nie większą niż: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a) 16 m dla budynków,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b) 20 m dla budowli, z uwzględnieniem § 4 pkt 3 lit. a tiret czwarte oraz § 12 pkt 3;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9) dowolną geometrię dachów;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10) dopuszczenie lokalizacji: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a) ciągów pieszych, rowerowych lub pieszo-rowerowych,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b) dróg wewnętrznych wyposażonych w jezdnię i co najmniej jednostronny chodnik;</w:t>
      </w:r>
    </w:p>
    <w:p w:rsidR="00551F7C" w:rsidRDefault="00551F7C" w:rsidP="00551F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11) dostęp do przyległych dróg publicznych lub do dróg publicznych poprzez dopuszczone planem drogi wewnętrzne.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51F7C">
        <w:rPr>
          <w:color w:val="000000"/>
          <w:sz w:val="24"/>
          <w:szCs w:val="24"/>
        </w:rPr>
        <w:t xml:space="preserve">W zakresie parametrów i wskaźników kształtowania zabudowy oraz zagospodarowania terenów oznaczonych na rysunku planu symbolami: </w:t>
      </w:r>
      <w:r w:rsidRPr="00551F7C">
        <w:rPr>
          <w:b/>
          <w:bCs/>
          <w:color w:val="000000"/>
          <w:sz w:val="24"/>
          <w:szCs w:val="24"/>
        </w:rPr>
        <w:t>1KD-Z</w:t>
      </w:r>
      <w:r w:rsidRPr="00551F7C">
        <w:rPr>
          <w:color w:val="000000"/>
          <w:sz w:val="24"/>
          <w:szCs w:val="24"/>
        </w:rPr>
        <w:t xml:space="preserve">, </w:t>
      </w:r>
      <w:r w:rsidRPr="00551F7C">
        <w:rPr>
          <w:b/>
          <w:bCs/>
          <w:color w:val="000000"/>
          <w:sz w:val="24"/>
          <w:szCs w:val="24"/>
        </w:rPr>
        <w:t>2KD-Z</w:t>
      </w:r>
      <w:r w:rsidRPr="00551F7C">
        <w:rPr>
          <w:color w:val="000000"/>
          <w:sz w:val="24"/>
          <w:szCs w:val="24"/>
        </w:rPr>
        <w:t xml:space="preserve">, </w:t>
      </w:r>
      <w:r w:rsidRPr="00551F7C">
        <w:rPr>
          <w:b/>
          <w:bCs/>
          <w:color w:val="000000"/>
          <w:sz w:val="24"/>
          <w:szCs w:val="24"/>
        </w:rPr>
        <w:t>1KD-D</w:t>
      </w:r>
      <w:r w:rsidRPr="00551F7C">
        <w:rPr>
          <w:color w:val="000000"/>
          <w:sz w:val="24"/>
          <w:szCs w:val="24"/>
        </w:rPr>
        <w:t xml:space="preserve">, </w:t>
      </w:r>
      <w:r w:rsidRPr="00551F7C">
        <w:rPr>
          <w:b/>
          <w:bCs/>
          <w:color w:val="000000"/>
          <w:sz w:val="24"/>
          <w:szCs w:val="24"/>
        </w:rPr>
        <w:t>2KD-D</w:t>
      </w:r>
      <w:r w:rsidRPr="00551F7C">
        <w:rPr>
          <w:color w:val="000000"/>
          <w:sz w:val="24"/>
          <w:szCs w:val="24"/>
        </w:rPr>
        <w:t xml:space="preserve"> ustala się: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1) na terenach 1KD-Z i 2KD-Z lokalizację: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a) jezdni,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b) dwustronnych chodników na terenie 1KD-Z i co najmniej jednostronnego chodnika na terenie 2KD-Z,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c) ścieżki rowerowej;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2) na terenie 1KD-D lokalizację jezdni i co najmniej jednostronnego chodnika;</w:t>
      </w:r>
    </w:p>
    <w:p w:rsidR="00551F7C" w:rsidRDefault="00551F7C" w:rsidP="00551F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3) na terenie 2KD-D lokalizację elementów pasa drogowego lub ich fragmentów, w</w:t>
      </w:r>
      <w:r w:rsidR="00981586">
        <w:rPr>
          <w:color w:val="000000"/>
          <w:sz w:val="24"/>
          <w:szCs w:val="24"/>
        </w:rPr>
        <w:t> </w:t>
      </w:r>
      <w:r w:rsidRPr="00551F7C">
        <w:rPr>
          <w:color w:val="000000"/>
          <w:sz w:val="24"/>
          <w:szCs w:val="24"/>
        </w:rPr>
        <w:t>nawiązaniu do zagospodarowania drogi położonej poza granicami planu.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51F7C">
        <w:rPr>
          <w:color w:val="000000"/>
          <w:sz w:val="24"/>
          <w:szCs w:val="24"/>
        </w:rPr>
        <w:t xml:space="preserve">W zakresie szczegółowych zasad i warunków scalania i podziału nieruchomości ustala się dla terenu </w:t>
      </w:r>
      <w:r w:rsidRPr="00551F7C">
        <w:rPr>
          <w:b/>
          <w:bCs/>
          <w:color w:val="000000"/>
          <w:sz w:val="24"/>
          <w:szCs w:val="24"/>
        </w:rPr>
        <w:t>UC/U/P</w:t>
      </w:r>
      <w:r w:rsidRPr="00551F7C">
        <w:rPr>
          <w:color w:val="000000"/>
          <w:sz w:val="24"/>
          <w:szCs w:val="24"/>
        </w:rPr>
        <w:t xml:space="preserve">: 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1) powierzchnię działki nie mniejszą niż 5000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>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2) szerokość frontu działki nie mniejszą niż 50 m;</w:t>
      </w:r>
    </w:p>
    <w:p w:rsidR="00551F7C" w:rsidRDefault="00551F7C" w:rsidP="00551F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3) kąt położenia granic działki w stosunku do pasa drogowego od 70</w:t>
      </w:r>
      <w:r w:rsidRPr="00551F7C">
        <w:rPr>
          <w:color w:val="000000"/>
          <w:sz w:val="24"/>
          <w:szCs w:val="24"/>
          <w:vertAlign w:val="superscript"/>
        </w:rPr>
        <w:t>o</w:t>
      </w:r>
      <w:r w:rsidRPr="00551F7C">
        <w:rPr>
          <w:color w:val="000000"/>
          <w:sz w:val="24"/>
          <w:szCs w:val="24"/>
        </w:rPr>
        <w:t xml:space="preserve"> do 130</w:t>
      </w:r>
      <w:r w:rsidRPr="00551F7C">
        <w:rPr>
          <w:color w:val="000000"/>
          <w:sz w:val="24"/>
          <w:szCs w:val="24"/>
          <w:vertAlign w:val="superscript"/>
        </w:rPr>
        <w:t>o</w:t>
      </w:r>
      <w:r w:rsidRPr="00551F7C">
        <w:rPr>
          <w:color w:val="000000"/>
          <w:sz w:val="24"/>
          <w:szCs w:val="24"/>
        </w:rPr>
        <w:t>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10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551F7C">
        <w:rPr>
          <w:color w:val="000000"/>
          <w:sz w:val="24"/>
          <w:szCs w:val="24"/>
        </w:rPr>
        <w:t>W zakresie szczególnych warunków zagospodarowania terenów oraz ograniczeń w ich użytkowaniu ustala się: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1) na terenach KD-Z i KD-D zakaz lokalizacji budynków;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2) uwzględnienie wymagań i ograniczeń wynikających z przebiegu sieci infrastruktury technicznej, w tym wskazanych na rysunku planu: kolektora sanitarnego i kolektorów deszczowych oraz magistrali wodociągowej;</w:t>
      </w:r>
    </w:p>
    <w:p w:rsidR="00551F7C" w:rsidRDefault="00551F7C" w:rsidP="00551F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3) zakaz lokalizacji nowych zjazdów z terenów KD-Z, z wyjątkiem zjazdu na teren UC/U/P na odcinku wskazanym na rysunku planu.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11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551F7C">
        <w:rPr>
          <w:color w:val="000000"/>
          <w:sz w:val="24"/>
          <w:szCs w:val="24"/>
        </w:rPr>
        <w:t>W zakresie zasad modernizacji, rozbudowy i budowy systemów komunikacji ustala się: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1) dla dróg publicznych: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a) KD-Z – drogi klasy zbiorczej,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b) KD-D – drogi klasy dojazdowej;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2) szerokość dróg w liniach rozgraniczających, zgodnie z rysunkiem planu;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3) zachowanie ciągłości powiązań elementów pasów drogowych, w granicach planu oraz z</w:t>
      </w:r>
      <w:r w:rsidR="00981586">
        <w:rPr>
          <w:color w:val="000000"/>
          <w:sz w:val="24"/>
          <w:szCs w:val="24"/>
        </w:rPr>
        <w:t> </w:t>
      </w:r>
      <w:r w:rsidRPr="00551F7C">
        <w:rPr>
          <w:color w:val="000000"/>
          <w:sz w:val="24"/>
          <w:szCs w:val="24"/>
        </w:rPr>
        <w:t>zewnętrznym układem drogowym;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4) na terenach dróg publicznych parametry zgodnie z klasyfikacją;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5) na terenach dopuszczonych dróg wewnętrznych szerokość: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a) jezdni nie mniejszą niż 5 m,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b) chodników nie mniejszą niż 2 m;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6) dopuszczenie zmniejszenia szerokości elementów, o których mowa w pkt 4 i 5: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a) w przypadku istniejących dróg niespełniających wymagań, o których mowa w pkt 4,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b) w przypadku kolizji z istniejącymi elementami zagospodarowania,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c) dla jezdni, ze względu na potrzebę uspokojenie ruchu;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7) na terenach KD-D i drogach wewnętrznych dopuszczenie stosowania technicznych elementów uspokojenia ruchu;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8) dopuszczenie na terenach dróg lokalizacji dodatkowych, innych niż ustalone planem elementów układu drogowego, w tym drogowych obiektów inżynierskich;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9) nakaz zapewnienia na działce budowlanej stanowisk postojowych dla samochodów osobowych w łącznej liczbie nie mniejszej niż: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lastRenderedPageBreak/>
        <w:t>a) na każde 1000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powierzchni budynków biurowych, administracji publicznej lub banków: 25 stanowisk postojowych,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b) na każde 1000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powierzchni budynków handlowych o powierzchni większej niż 100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>: 45 stanowisk postojowych,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c) na każde 1000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powierzchni hal targowych lub targowisk: 45 stanowisk postojowych,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d) na każde 100 miejsc w obiektach gastronomicznych o powierzchni większej niż 100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>: 25 stanowisk postojowych,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e) na każdy obiekt o powierzchni mniejszej lub równej 100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mieszczący drobne usługi, rzemiosło, handel lub gastronomię: 1 stanowisko postojowe,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f) na każde 100 miejsc w teatrach, kinach, salach konferencyjnych, widowiskowych lub wystawienniczych: 37 stanowisk postojowych,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g) na każde 10 gabinetów w przychodniach zdrowia: 10 stanowisk postojowych,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h) na każde 10 łóżek w hotelach: 5 stanowisk postojowych,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i) na każde 100 miejsc dydaktycznych na uczelniach wyższych: 35 stanowisk postojowych,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j) na każde 100 dzieci w żłobkach lub przedszkolach: 6 stanowisk postojowych,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k) na obiekt kultu religijnego: 10 stanowisk postojowych,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l) na każde 10 stanowisk pracy w obiektach magazynowych lub na placach składowych: 5 stanowisk postojowych,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m) na każde 100 stanowisk pracy w zakładach produkcyjnych lub rzemieślniczych: 32 stanowiska postojowe,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n) na każde 1000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powierzchni budynków innych niż wymienione w lit. a-m: 25 stanowisk postojowych;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10) nakaz zapewnienia na działce budowlanej stanowisk postojowych dla rowerów w  łącznej liczbie nie mniejszej niż: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a) na każde 1000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powierzchni budynków biurowych, administracji publicznej lub banków: 5 stanowisk,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b) na każde 1000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powierzchni budynków handlowych o powierzchni większej niż 100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>: 10 stanowisk,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c) na każde 1000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powierzchni hal targowych lub targowisk: 8 stanowisk,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d) na każde 100 miejsc w obiektach gastronomicznych o powierzchni większej niż 100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>: 5 stanowisk,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lastRenderedPageBreak/>
        <w:t>e) na każdy obiekt o powierzchni mniejszej lub równej 100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mieszczący drobne usługi, rzemiosło, handel lub gastronomię: 1 stanowisko,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f) na każde 100 miejsc w teatrach, kinach, salach konferencyjnych, widowiskowych lub wystawienniczych: 10 stanowisk,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g) na każde 10 gabinetów w przychodniach zdrowia: 6 stanowisk,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h) na każde 10 łóżek w hotelach: 1 stanowisko,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i) na każde 100 miejsc dydaktycznych na uczelniach wyższych: 15 stanowisk,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j) na każde 100 dzieci w żłobkach lub przedszkolach: 5 stanowisk,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k) na obiekt kultu religijnego: 10 stanowisk,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l) na każde 10 stanowisk pracy w obiektach magazynowych lub na placach składowych: 1 stanowisko,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m) na każde 100 stanowisk pracy w zakładach produkcyjnych lub rzemieślniczych: 10 stanowisk,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n) na każde 1000 m</w:t>
      </w:r>
      <w:r w:rsidRPr="00551F7C">
        <w:rPr>
          <w:color w:val="000000"/>
          <w:sz w:val="24"/>
          <w:szCs w:val="24"/>
          <w:vertAlign w:val="superscript"/>
        </w:rPr>
        <w:t>2</w:t>
      </w:r>
      <w:r w:rsidRPr="00551F7C">
        <w:rPr>
          <w:color w:val="000000"/>
          <w:sz w:val="24"/>
          <w:szCs w:val="24"/>
        </w:rPr>
        <w:t xml:space="preserve"> powierzchni budynków innych niż wymienione w lit. a-m: 6</w:t>
      </w:r>
      <w:r w:rsidR="00981586">
        <w:rPr>
          <w:color w:val="000000"/>
          <w:sz w:val="24"/>
          <w:szCs w:val="24"/>
        </w:rPr>
        <w:t> </w:t>
      </w:r>
      <w:r w:rsidRPr="00551F7C">
        <w:rPr>
          <w:color w:val="000000"/>
          <w:sz w:val="24"/>
          <w:szCs w:val="24"/>
        </w:rPr>
        <w:t>stanowisk;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11) przy obliczaniu wymaganej liczby stanowisk postojowych dla samochodów osobowych i rowerów, uzależnionej od powierzchni budynku, uwzględnienie jego powierzchni użytkowej pomniejszonej o powierzchnię pomieszczeń pomocniczych, technicznych, gospodarczych i technologicznych nieprzeznaczonych na pobyt ludzi, powierzchnię magazynową oraz zaplecze komunikacyjne, w tym powierzchnię garażową;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12) dla obiektów wielofunkcyjnych liczbę stanowisk postojowych dla samochodów osobowych i rowerów równą sumie liczb stanowisk postojowych obliczonych dla poszczególnych funkcji;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13) co najmniej 5% udział stanowisk postojowych przystosowanych do obsługi pojazdów zaopatrzonych w kartę parkingową w wymaganej liczbie stanowisk postojowych dla samochodów osobowych;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14) zaokrąglenie liczby stanowisk do najbliższej wartości całkowitej, przy czym nie może to być mniej niż 1 stanowisko;</w:t>
      </w:r>
    </w:p>
    <w:p w:rsidR="00551F7C" w:rsidRDefault="00551F7C" w:rsidP="00551F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15) w przypadku lokalizacji usług wymagających dostaw towarów nakaz zapewnienia na działce budowlanej miejsc do przeładunku towarów zlokalizowanych poza stanowiskami określonymi w pkt 9 i 10.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12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551F7C">
        <w:rPr>
          <w:color w:val="000000"/>
          <w:sz w:val="24"/>
          <w:szCs w:val="24"/>
        </w:rPr>
        <w:t>W zakresie zasad modernizacji, rozbudowy i budowy systemów infrastruktury technicznej ustala się: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1) powiązanie sieci infrastruktury technicznej z układem zewnętrznym oraz zapewnienie dostępu do sieci;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2) dopuszczenie robót budowlanych w zakresie sieci infrastruktury technicznej, w tym monitoringu wizyjnego oraz systemu służb ratowniczych i bezpieczeństwa publicznego;</w:t>
      </w:r>
    </w:p>
    <w:p w:rsidR="00551F7C" w:rsidRPr="00551F7C" w:rsidRDefault="00551F7C" w:rsidP="00551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3) wysokość budowli związanych z infrastrukturą techniczną telekomunikacyjną nie większą niż 49 m od poziomu terenu;</w:t>
      </w:r>
    </w:p>
    <w:p w:rsidR="00551F7C" w:rsidRDefault="00551F7C" w:rsidP="00551F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F7C">
        <w:rPr>
          <w:color w:val="000000"/>
          <w:sz w:val="24"/>
          <w:szCs w:val="24"/>
        </w:rPr>
        <w:t>4) zakaz lokalizacji nowych napowietrznych sieci infrastruktury technicznej.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13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551F7C">
        <w:rPr>
          <w:color w:val="000000"/>
          <w:sz w:val="24"/>
          <w:szCs w:val="24"/>
        </w:rPr>
        <w:t>Ustala się stawkę służącą naliczeniu opłaty z tytułu wzrostu wartości nieruchomości w</w:t>
      </w:r>
      <w:r w:rsidR="00981586">
        <w:rPr>
          <w:color w:val="000000"/>
          <w:sz w:val="24"/>
          <w:szCs w:val="24"/>
        </w:rPr>
        <w:t> </w:t>
      </w:r>
      <w:r w:rsidRPr="00551F7C">
        <w:rPr>
          <w:color w:val="000000"/>
          <w:sz w:val="24"/>
          <w:szCs w:val="24"/>
        </w:rPr>
        <w:t>wysokości 30%.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14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551F7C">
        <w:rPr>
          <w:color w:val="000000"/>
          <w:sz w:val="24"/>
          <w:szCs w:val="24"/>
        </w:rPr>
        <w:t>Wykonanie uchwały powierza się Prezydentowi Miasta Poznania.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15</w:t>
      </w:r>
    </w:p>
    <w:p w:rsidR="00551F7C" w:rsidRDefault="00551F7C" w:rsidP="00551F7C">
      <w:pPr>
        <w:keepNext/>
        <w:spacing w:line="360" w:lineRule="auto"/>
        <w:rPr>
          <w:color w:val="000000"/>
          <w:sz w:val="24"/>
          <w:szCs w:val="24"/>
        </w:rPr>
      </w:pP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551F7C">
        <w:rPr>
          <w:color w:val="000000"/>
          <w:sz w:val="24"/>
          <w:szCs w:val="24"/>
        </w:rPr>
        <w:t>Uchwała wchodzi w życie po upływie 30 dni od dnia ogłoszenia w Dzienniku Urzędowym Województwa Wielkopolskiego.</w:t>
      </w:r>
    </w:p>
    <w:p w:rsidR="00551F7C" w:rsidRDefault="00551F7C" w:rsidP="00551F7C">
      <w:pPr>
        <w:spacing w:line="360" w:lineRule="auto"/>
        <w:jc w:val="both"/>
        <w:rPr>
          <w:color w:val="000000"/>
          <w:sz w:val="24"/>
          <w:szCs w:val="24"/>
        </w:rPr>
      </w:pPr>
    </w:p>
    <w:p w:rsidR="00551F7C" w:rsidRDefault="00551F7C" w:rsidP="00551F7C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551F7C" w:rsidRPr="00551F7C" w:rsidRDefault="00551F7C" w:rsidP="00551F7C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551F7C" w:rsidRPr="00551F7C" w:rsidSect="00551F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25" w:rsidRDefault="00621925">
      <w:r>
        <w:separator/>
      </w:r>
    </w:p>
  </w:endnote>
  <w:endnote w:type="continuationSeparator" w:id="0">
    <w:p w:rsidR="00621925" w:rsidRDefault="0062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25" w:rsidRDefault="00621925">
      <w:r>
        <w:separator/>
      </w:r>
    </w:p>
  </w:footnote>
  <w:footnote w:type="continuationSeparator" w:id="0">
    <w:p w:rsidR="00621925" w:rsidRDefault="0062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LXIV/1180/VIII/2022"/>
    <w:docVar w:name="Sprawa" w:val="miejscowego planu zagospodarowania przestrzennego terenów przyautostradowych w rejonie Fabianowa i Kotowa w Poznaniu – część C."/>
  </w:docVars>
  <w:rsids>
    <w:rsidRoot w:val="00551F7C"/>
    <w:rsid w:val="00021F69"/>
    <w:rsid w:val="000309E6"/>
    <w:rsid w:val="00072485"/>
    <w:rsid w:val="000E2E12"/>
    <w:rsid w:val="00167A3B"/>
    <w:rsid w:val="002B6586"/>
    <w:rsid w:val="002F23BC"/>
    <w:rsid w:val="00301A09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51F7C"/>
    <w:rsid w:val="00565809"/>
    <w:rsid w:val="005B6DD0"/>
    <w:rsid w:val="005C6BB7"/>
    <w:rsid w:val="005E453F"/>
    <w:rsid w:val="00621925"/>
    <w:rsid w:val="0065477E"/>
    <w:rsid w:val="00701C48"/>
    <w:rsid w:val="00757A79"/>
    <w:rsid w:val="00853287"/>
    <w:rsid w:val="00860838"/>
    <w:rsid w:val="009632D1"/>
    <w:rsid w:val="009773E3"/>
    <w:rsid w:val="00981586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E132E"/>
  <w15:chartTrackingRefBased/>
  <w15:docId w15:val="{ECD16F5E-7298-4D63-B6A0-94E9A6BC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rat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3AABA5614CA4F82226AB0F0BB82B4" ma:contentTypeVersion="20" ma:contentTypeDescription="Create a new document." ma:contentTypeScope="" ma:versionID="da6ca811df1577cea0badd8a966652d7">
  <xsd:schema xmlns:xsd="http://www.w3.org/2001/XMLSchema" xmlns:xs="http://www.w3.org/2001/XMLSchema" xmlns:p="http://schemas.microsoft.com/office/2006/metadata/properties" xmlns:ns1="http://schemas.microsoft.com/sharepoint/v3" xmlns:ns2="c2db0228-44c1-4862-aef9-96de9744dc52" xmlns:ns3="f085bf87-90af-47f7-9090-fdfbe69eb562" xmlns:ns4="ef072091-2986-4038-bf61-d310c98fc161" targetNamespace="http://schemas.microsoft.com/office/2006/metadata/properties" ma:root="true" ma:fieldsID="8fd4bfc1b606370ef337048e58e6c1c6" ns1:_="" ns2:_="" ns3:_="" ns4:_="">
    <xsd:import namespace="http://schemas.microsoft.com/sharepoint/v3"/>
    <xsd:import namespace="c2db0228-44c1-4862-aef9-96de9744dc52"/>
    <xsd:import namespace="f085bf87-90af-47f7-9090-fdfbe69eb562"/>
    <xsd:import namespace="ef072091-2986-4038-bf61-d310c98fc1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b0228-44c1-4862-aef9-96de9744dc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5bf87-90af-47f7-9090-fdfbe69eb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2fe83a4-0100-4fb8-b150-ea78f2124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72091-2986-4038-bf61-d310c98fc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B5FF47A-3A8D-4484-B0FF-03B626DC8AE7}" ma:internalName="TaxCatchAll" ma:showField="CatchAllData" ma:web="{ed15e4c0-1e7a-4910-9839-5c0f8c4adfb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db0228-44c1-4862-aef9-96de9744dc52">7KSYJW3TENYS-930804137-44607</_dlc_DocId>
    <_dlc_DocIdUrl xmlns="c2db0228-44c1-4862-aef9-96de9744dc52">
      <Url>https://immochan.sharepoint.com/sites/PL/DPC/_layouts/15/DocIdRedir.aspx?ID=7KSYJW3TENYS-930804137-44607</Url>
      <Description>7KSYJW3TENYS-930804137-44607</Description>
    </_dlc_DocIdUrl>
    <_ip_UnifiedCompliancePolicyUIAction xmlns="http://schemas.microsoft.com/sharepoint/v3" xsi:nil="true"/>
    <lcf76f155ced4ddcb4097134ff3c332f xmlns="f085bf87-90af-47f7-9090-fdfbe69eb562">
      <Terms xmlns="http://schemas.microsoft.com/office/infopath/2007/PartnerControls"/>
    </lcf76f155ced4ddcb4097134ff3c332f>
    <TaxCatchAll xmlns="ef072091-2986-4038-bf61-d310c98fc16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AC4AE6-844B-437C-9F96-02CCDDAAE41B}"/>
</file>

<file path=customXml/itemProps2.xml><?xml version="1.0" encoding="utf-8"?>
<ds:datastoreItem xmlns:ds="http://schemas.openxmlformats.org/officeDocument/2006/customXml" ds:itemID="{F18C9320-A9C9-4B49-BF55-4763D5171403}"/>
</file>

<file path=customXml/itemProps3.xml><?xml version="1.0" encoding="utf-8"?>
<ds:datastoreItem xmlns:ds="http://schemas.openxmlformats.org/officeDocument/2006/customXml" ds:itemID="{1FA99D1C-0E70-416B-90F1-2EC8B6DBF28E}"/>
</file>

<file path=customXml/itemProps4.xml><?xml version="1.0" encoding="utf-8"?>
<ds:datastoreItem xmlns:ds="http://schemas.openxmlformats.org/officeDocument/2006/customXml" ds:itemID="{C24D99B8-F8A4-4856-85CF-D25BD271CA8D}"/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0</TotalTime>
  <Pages>9</Pages>
  <Words>2075</Words>
  <Characters>12452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Natalia Ratajczak</dc:creator>
  <cp:keywords/>
  <cp:lastModifiedBy>Natalia Ratajczak</cp:lastModifiedBy>
  <cp:revision>3</cp:revision>
  <cp:lastPrinted>2003-01-09T12:40:00Z</cp:lastPrinted>
  <dcterms:created xsi:type="dcterms:W3CDTF">2022-05-20T07:39:00Z</dcterms:created>
  <dcterms:modified xsi:type="dcterms:W3CDTF">2022-05-20T07:56:00Z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0x0101009AD3AABA5614CA4F82226AB0F0BB82B4</vt:lpwstr>
  </property>
  <property fmtid="{D5CDD505-2E9C-101B-9397-08002B2CF9AE}" pid="3" name="_dlc_DocIdItemGuid">
    <vt:lpwstr>86516416-7fc7-4f35-b5eb-70fe280795b7</vt:lpwstr>
  </property>
  <property fmtid="{D5CDD505-2E9C-101B-9397-08002B2CF9AE}" pid="4" name="MediaServiceImageTags">
    <vt:lpwstr/>
  </property>
</Properties>
</file>